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6E2F20" w:rsidTr="006E2F20">
        <w:tc>
          <w:tcPr>
            <w:tcW w:w="9426" w:type="dxa"/>
            <w:gridSpan w:val="2"/>
            <w:tcBorders>
              <w:bottom w:val="nil"/>
            </w:tcBorders>
          </w:tcPr>
          <w:p w:rsidR="006E2F20" w:rsidRDefault="006E2F20" w:rsidP="00216552">
            <w:pPr>
              <w:jc w:val="center"/>
              <w:rPr>
                <w:sz w:val="28"/>
              </w:rPr>
            </w:pPr>
            <w:bookmarkStart w:id="0" w:name="_GoBack"/>
            <w:bookmarkEnd w:id="0"/>
            <w:r>
              <w:rPr>
                <w:sz w:val="28"/>
              </w:rPr>
              <w:t xml:space="preserve">Základní škola </w:t>
            </w:r>
            <w:r w:rsidR="00220671">
              <w:rPr>
                <w:sz w:val="28"/>
              </w:rPr>
              <w:t>Bystřice</w:t>
            </w:r>
          </w:p>
          <w:p w:rsidR="006E2F20" w:rsidRDefault="006E2F20" w:rsidP="00216552">
            <w:pPr>
              <w:jc w:val="center"/>
              <w:rPr>
                <w:sz w:val="28"/>
              </w:rPr>
            </w:pPr>
            <w:r>
              <w:rPr>
                <w:sz w:val="28"/>
              </w:rPr>
              <w:t xml:space="preserve"> </w:t>
            </w:r>
            <w:r w:rsidR="00220671">
              <w:rPr>
                <w:sz w:val="28"/>
              </w:rPr>
              <w:t>Dr. E. Beneše 300</w:t>
            </w:r>
          </w:p>
          <w:p w:rsidR="006E2F20" w:rsidRDefault="00220671" w:rsidP="00216552">
            <w:pPr>
              <w:jc w:val="center"/>
            </w:pPr>
            <w:r>
              <w:t>Bystřice u Benešova</w:t>
            </w:r>
          </w:p>
          <w:p w:rsidR="006E2F20" w:rsidRDefault="006E2F20" w:rsidP="00216552">
            <w:pPr>
              <w:jc w:val="center"/>
              <w:rPr>
                <w:sz w:val="28"/>
              </w:rPr>
            </w:pPr>
          </w:p>
        </w:tc>
      </w:tr>
      <w:tr w:rsidR="006E2F20" w:rsidTr="006E2F20">
        <w:trPr>
          <w:cantSplit/>
        </w:trPr>
        <w:tc>
          <w:tcPr>
            <w:tcW w:w="9426" w:type="dxa"/>
            <w:gridSpan w:val="2"/>
          </w:tcPr>
          <w:p w:rsidR="009C7EAB" w:rsidRDefault="006E2F20" w:rsidP="006E2F20">
            <w:pPr>
              <w:spacing w:before="120" w:line="240" w:lineRule="atLeast"/>
              <w:jc w:val="center"/>
              <w:rPr>
                <w:color w:val="0000FF"/>
                <w:sz w:val="28"/>
              </w:rPr>
            </w:pPr>
            <w:r>
              <w:rPr>
                <w:color w:val="0000FF"/>
                <w:sz w:val="28"/>
              </w:rPr>
              <w:t xml:space="preserve">URČENÍ FINANČNÍCH NÁHRAD ZA ZTRACENÉ </w:t>
            </w:r>
          </w:p>
          <w:p w:rsidR="006E2F20" w:rsidRDefault="006E2F20" w:rsidP="006E2F20">
            <w:pPr>
              <w:spacing w:before="120" w:line="240" w:lineRule="atLeast"/>
              <w:jc w:val="center"/>
              <w:rPr>
                <w:color w:val="0000FF"/>
                <w:sz w:val="28"/>
              </w:rPr>
            </w:pPr>
            <w:r>
              <w:rPr>
                <w:color w:val="0000FF"/>
                <w:sz w:val="28"/>
              </w:rPr>
              <w:t>ČI POŠKOZENÉ  UČEBNICE</w:t>
            </w:r>
          </w:p>
        </w:tc>
      </w:tr>
      <w:tr w:rsidR="006E2F20" w:rsidTr="006E2F20">
        <w:tc>
          <w:tcPr>
            <w:tcW w:w="4465" w:type="dxa"/>
          </w:tcPr>
          <w:p w:rsidR="006E2F20" w:rsidRDefault="006E2F20" w:rsidP="00216552">
            <w:pPr>
              <w:spacing w:before="120" w:line="240" w:lineRule="atLeast"/>
              <w:rPr>
                <w:sz w:val="28"/>
              </w:rPr>
            </w:pPr>
            <w:r>
              <w:rPr>
                <w:sz w:val="28"/>
              </w:rPr>
              <w:t>Vypracoval:</w:t>
            </w:r>
          </w:p>
        </w:tc>
        <w:tc>
          <w:tcPr>
            <w:tcW w:w="4961" w:type="dxa"/>
          </w:tcPr>
          <w:p w:rsidR="006E2F20" w:rsidRDefault="00A17D46" w:rsidP="004C00B2">
            <w:pPr>
              <w:pStyle w:val="DefinitionTerm"/>
              <w:widowControl/>
              <w:spacing w:before="120" w:line="240" w:lineRule="atLeast"/>
              <w:rPr>
                <w:sz w:val="28"/>
              </w:rPr>
            </w:pPr>
            <w:r>
              <w:rPr>
                <w:sz w:val="28"/>
              </w:rPr>
              <w:t xml:space="preserve"> </w:t>
            </w:r>
            <w:r w:rsidR="006E2F20">
              <w:rPr>
                <w:sz w:val="28"/>
              </w:rPr>
              <w:t xml:space="preserve">Mgr. </w:t>
            </w:r>
            <w:r w:rsidR="00220671">
              <w:rPr>
                <w:sz w:val="28"/>
              </w:rPr>
              <w:t>Martin Gruber</w:t>
            </w:r>
            <w:r w:rsidR="006E2F20">
              <w:rPr>
                <w:sz w:val="28"/>
              </w:rPr>
              <w:t xml:space="preserve">, </w:t>
            </w:r>
            <w:r w:rsidR="00220671">
              <w:rPr>
                <w:sz w:val="28"/>
              </w:rPr>
              <w:t xml:space="preserve">zástupce </w:t>
            </w:r>
            <w:r w:rsidR="006E2F20">
              <w:rPr>
                <w:sz w:val="28"/>
              </w:rPr>
              <w:t>ředitel</w:t>
            </w:r>
            <w:r w:rsidR="00220671">
              <w:rPr>
                <w:sz w:val="28"/>
              </w:rPr>
              <w:t>e</w:t>
            </w:r>
            <w:r w:rsidR="006E2F20">
              <w:rPr>
                <w:sz w:val="28"/>
              </w:rPr>
              <w:t xml:space="preserve"> školy </w:t>
            </w:r>
          </w:p>
        </w:tc>
      </w:tr>
      <w:tr w:rsidR="006E2F20" w:rsidTr="006E2F20">
        <w:tc>
          <w:tcPr>
            <w:tcW w:w="4465" w:type="dxa"/>
          </w:tcPr>
          <w:p w:rsidR="006E2F20" w:rsidRDefault="006E2F20" w:rsidP="00216552">
            <w:pPr>
              <w:spacing w:before="120" w:line="240" w:lineRule="atLeast"/>
              <w:rPr>
                <w:sz w:val="28"/>
              </w:rPr>
            </w:pPr>
            <w:r>
              <w:rPr>
                <w:sz w:val="28"/>
              </w:rPr>
              <w:t>Schválil:</w:t>
            </w:r>
          </w:p>
        </w:tc>
        <w:tc>
          <w:tcPr>
            <w:tcW w:w="4961" w:type="dxa"/>
          </w:tcPr>
          <w:p w:rsidR="006E2F20" w:rsidRDefault="006E2F20" w:rsidP="004C00B2">
            <w:pPr>
              <w:spacing w:before="120" w:line="240" w:lineRule="atLeast"/>
              <w:rPr>
                <w:sz w:val="28"/>
              </w:rPr>
            </w:pPr>
            <w:r>
              <w:rPr>
                <w:sz w:val="28"/>
              </w:rPr>
              <w:t xml:space="preserve">Mgr. </w:t>
            </w:r>
            <w:r w:rsidR="00220671">
              <w:rPr>
                <w:sz w:val="28"/>
              </w:rPr>
              <w:t>Vladimír Chramosta</w:t>
            </w:r>
            <w:r>
              <w:rPr>
                <w:sz w:val="28"/>
              </w:rPr>
              <w:t>, ředitel školy</w:t>
            </w:r>
          </w:p>
        </w:tc>
      </w:tr>
      <w:tr w:rsidR="006E2F20" w:rsidTr="006E2F20">
        <w:tc>
          <w:tcPr>
            <w:tcW w:w="4465" w:type="dxa"/>
          </w:tcPr>
          <w:p w:rsidR="006E2F20" w:rsidRDefault="006E2F20" w:rsidP="00216552">
            <w:pPr>
              <w:spacing w:before="120" w:line="240" w:lineRule="atLeast"/>
              <w:rPr>
                <w:sz w:val="28"/>
              </w:rPr>
            </w:pPr>
            <w:r>
              <w:rPr>
                <w:sz w:val="28"/>
              </w:rPr>
              <w:t>Směrnice nabývá platnosti ode dne:</w:t>
            </w:r>
          </w:p>
        </w:tc>
        <w:tc>
          <w:tcPr>
            <w:tcW w:w="4961" w:type="dxa"/>
          </w:tcPr>
          <w:p w:rsidR="006E2F20" w:rsidRPr="00220671" w:rsidRDefault="004C00B2" w:rsidP="00220671">
            <w:pPr>
              <w:spacing w:before="120" w:line="240" w:lineRule="atLeast"/>
              <w:ind w:left="360"/>
              <w:rPr>
                <w:sz w:val="28"/>
              </w:rPr>
            </w:pPr>
            <w:r>
              <w:rPr>
                <w:sz w:val="28"/>
              </w:rPr>
              <w:t>20.6</w:t>
            </w:r>
            <w:r w:rsidRPr="00220671">
              <w:rPr>
                <w:sz w:val="28"/>
              </w:rPr>
              <w:t xml:space="preserve"> 2016</w:t>
            </w:r>
          </w:p>
        </w:tc>
      </w:tr>
      <w:tr w:rsidR="006E2F20" w:rsidTr="006E2F20">
        <w:tc>
          <w:tcPr>
            <w:tcW w:w="4465" w:type="dxa"/>
          </w:tcPr>
          <w:p w:rsidR="006E2F20" w:rsidRDefault="006E2F20" w:rsidP="00216552">
            <w:pPr>
              <w:spacing w:before="120" w:line="240" w:lineRule="atLeast"/>
              <w:rPr>
                <w:sz w:val="28"/>
              </w:rPr>
            </w:pPr>
            <w:r>
              <w:rPr>
                <w:sz w:val="28"/>
              </w:rPr>
              <w:t>Směrnice nabývá účinnosti ode dne:</w:t>
            </w:r>
          </w:p>
        </w:tc>
        <w:tc>
          <w:tcPr>
            <w:tcW w:w="4961" w:type="dxa"/>
          </w:tcPr>
          <w:p w:rsidR="006E2F20" w:rsidRPr="00220671" w:rsidRDefault="00220671" w:rsidP="004C00B2">
            <w:pPr>
              <w:spacing w:before="120" w:line="240" w:lineRule="atLeast"/>
              <w:rPr>
                <w:sz w:val="28"/>
              </w:rPr>
            </w:pPr>
            <w:r>
              <w:rPr>
                <w:sz w:val="28"/>
              </w:rPr>
              <w:t xml:space="preserve">     </w:t>
            </w:r>
            <w:r w:rsidR="004C00B2">
              <w:rPr>
                <w:sz w:val="28"/>
              </w:rPr>
              <w:t>20</w:t>
            </w:r>
            <w:r w:rsidR="004C00B2" w:rsidRPr="00220671">
              <w:rPr>
                <w:sz w:val="28"/>
              </w:rPr>
              <w:t>. 6</w:t>
            </w:r>
            <w:r w:rsidRPr="00220671">
              <w:rPr>
                <w:sz w:val="28"/>
              </w:rPr>
              <w:t>. 2016</w:t>
            </w:r>
          </w:p>
        </w:tc>
      </w:tr>
    </w:tbl>
    <w:p w:rsidR="00D663CB" w:rsidRDefault="00D663CB"/>
    <w:p w:rsidR="006E2F20" w:rsidRDefault="006E2F20" w:rsidP="006E2F20">
      <w:pPr>
        <w:pStyle w:val="Odstavecseseznamem"/>
        <w:numPr>
          <w:ilvl w:val="0"/>
          <w:numId w:val="1"/>
        </w:numPr>
        <w:rPr>
          <w:b/>
          <w:u w:val="single"/>
        </w:rPr>
      </w:pPr>
      <w:r w:rsidRPr="006E2F20">
        <w:rPr>
          <w:b/>
          <w:u w:val="single"/>
        </w:rPr>
        <w:t>Obecná ustanovení</w:t>
      </w:r>
    </w:p>
    <w:p w:rsidR="00692CA4" w:rsidRDefault="00692CA4" w:rsidP="00692CA4">
      <w:pPr>
        <w:pStyle w:val="Odstavecseseznamem"/>
        <w:rPr>
          <w:b/>
          <w:u w:val="single"/>
        </w:rPr>
      </w:pPr>
    </w:p>
    <w:p w:rsidR="006E2F20" w:rsidRDefault="006E2F20" w:rsidP="006E2F20">
      <w:pPr>
        <w:pStyle w:val="Odstavecseseznamem"/>
      </w:pPr>
      <w:r>
        <w:t>Na základě ustanovení zákona č. 561/2004 Sb. o předškolním, základním, středním, vyšším odborném a jiném vzdělávání (školský zákon) v platném znění vydávám jako statutární orgán školy tuto směrnici. Směrnice je součástí organizačního řádu školy.</w:t>
      </w:r>
    </w:p>
    <w:p w:rsidR="006E2F20" w:rsidRDefault="006E2F20" w:rsidP="006E2F20">
      <w:pPr>
        <w:pStyle w:val="Odstavecseseznamem"/>
      </w:pPr>
    </w:p>
    <w:p w:rsidR="006E2F20" w:rsidRDefault="006E2F20" w:rsidP="006E2F20">
      <w:pPr>
        <w:pStyle w:val="Odstavecseseznamem"/>
      </w:pPr>
      <w:r>
        <w:t>Touto směrnicí se stanovuje způsob určení finančních náhrad za ztracené či poškozené učebnice pořízených z finančních prostředků organizace.</w:t>
      </w:r>
    </w:p>
    <w:p w:rsidR="006E2F20" w:rsidRDefault="006E2F20" w:rsidP="006E2F20">
      <w:pPr>
        <w:pStyle w:val="Odstavecseseznamem"/>
      </w:pPr>
    </w:p>
    <w:p w:rsidR="006E2F20" w:rsidRPr="00692CA4" w:rsidRDefault="006E2F20" w:rsidP="006E2F20">
      <w:pPr>
        <w:pStyle w:val="Odstavecseseznamem"/>
        <w:numPr>
          <w:ilvl w:val="0"/>
          <w:numId w:val="1"/>
        </w:numPr>
      </w:pPr>
      <w:r>
        <w:rPr>
          <w:b/>
          <w:u w:val="single"/>
        </w:rPr>
        <w:t>Kategorie učebnic</w:t>
      </w:r>
    </w:p>
    <w:p w:rsidR="00692CA4" w:rsidRPr="006E2F20" w:rsidRDefault="00692CA4" w:rsidP="00692CA4">
      <w:pPr>
        <w:pStyle w:val="Odstavecseseznamem"/>
      </w:pPr>
    </w:p>
    <w:p w:rsidR="006E2F20" w:rsidRDefault="006E2F20" w:rsidP="006E2F20">
      <w:r>
        <w:t xml:space="preserve">            Učebnice jsou dle stáří a stavu zařazené do celkem 5 kategorií (</w:t>
      </w:r>
      <w:r w:rsidR="00220671">
        <w:t>1</w:t>
      </w:r>
      <w:r>
        <w:t>= nová,</w:t>
      </w:r>
      <w:r w:rsidR="00220671">
        <w:t xml:space="preserve"> 5</w:t>
      </w:r>
      <w:r>
        <w:t xml:space="preserve">= na </w:t>
      </w:r>
    </w:p>
    <w:p w:rsidR="006E2F20" w:rsidRDefault="006E2F20" w:rsidP="006E2F20">
      <w:r>
        <w:t xml:space="preserve">            vyřazení). O zařazení do kategorie rozhoduje učitel, který učebnice vybírá na konci </w:t>
      </w:r>
    </w:p>
    <w:p w:rsidR="006E2F20" w:rsidRDefault="006E2F20" w:rsidP="006E2F20">
      <w:r>
        <w:t xml:space="preserve">            školního roku.</w:t>
      </w:r>
    </w:p>
    <w:p w:rsidR="006E2F20" w:rsidRDefault="006E2F20" w:rsidP="006E2F20">
      <w:pPr>
        <w:pStyle w:val="Odstavecseseznamem"/>
      </w:pPr>
    </w:p>
    <w:tbl>
      <w:tblPr>
        <w:tblStyle w:val="Mkatabulky"/>
        <w:tblW w:w="0" w:type="auto"/>
        <w:tblInd w:w="720" w:type="dxa"/>
        <w:tblLook w:val="04A0" w:firstRow="1" w:lastRow="0" w:firstColumn="1" w:lastColumn="0" w:noHBand="0" w:noVBand="1"/>
      </w:tblPr>
      <w:tblGrid>
        <w:gridCol w:w="2507"/>
        <w:gridCol w:w="6061"/>
      </w:tblGrid>
      <w:tr w:rsidR="00CA223A" w:rsidTr="00CA223A">
        <w:trPr>
          <w:trHeight w:val="162"/>
        </w:trPr>
        <w:tc>
          <w:tcPr>
            <w:tcW w:w="2507" w:type="dxa"/>
          </w:tcPr>
          <w:p w:rsidR="00CA223A" w:rsidRPr="00CA223A" w:rsidRDefault="00CA223A" w:rsidP="006E2F20">
            <w:pPr>
              <w:pStyle w:val="Odstavecseseznamem"/>
              <w:ind w:left="0"/>
              <w:rPr>
                <w:b/>
              </w:rPr>
            </w:pPr>
            <w:r w:rsidRPr="00CA223A">
              <w:rPr>
                <w:b/>
              </w:rPr>
              <w:t>kategorie</w:t>
            </w:r>
          </w:p>
        </w:tc>
        <w:tc>
          <w:tcPr>
            <w:tcW w:w="6061" w:type="dxa"/>
          </w:tcPr>
          <w:p w:rsidR="00CA223A" w:rsidRPr="00CA223A" w:rsidRDefault="00CA223A" w:rsidP="006E2F20">
            <w:pPr>
              <w:pStyle w:val="Odstavecseseznamem"/>
              <w:ind w:left="0"/>
              <w:rPr>
                <w:b/>
              </w:rPr>
            </w:pPr>
            <w:r w:rsidRPr="00CA223A">
              <w:rPr>
                <w:b/>
              </w:rPr>
              <w:t>Stav učebnice</w:t>
            </w:r>
          </w:p>
        </w:tc>
      </w:tr>
      <w:tr w:rsidR="00CA223A" w:rsidTr="00CA223A">
        <w:tc>
          <w:tcPr>
            <w:tcW w:w="2507" w:type="dxa"/>
          </w:tcPr>
          <w:p w:rsidR="00CA223A" w:rsidRPr="00CA223A" w:rsidRDefault="00220671" w:rsidP="006E2F20">
            <w:pPr>
              <w:pStyle w:val="Odstavecseseznamem"/>
              <w:ind w:left="0"/>
              <w:rPr>
                <w:b/>
              </w:rPr>
            </w:pPr>
            <w:r>
              <w:rPr>
                <w:b/>
              </w:rPr>
              <w:t>1</w:t>
            </w:r>
          </w:p>
        </w:tc>
        <w:tc>
          <w:tcPr>
            <w:tcW w:w="6061" w:type="dxa"/>
          </w:tcPr>
          <w:p w:rsidR="00CA223A" w:rsidRDefault="00CA223A" w:rsidP="006E2F20">
            <w:pPr>
              <w:pStyle w:val="Odstavecseseznamem"/>
              <w:ind w:left="0"/>
            </w:pPr>
            <w:r>
              <w:t>nová učebnice</w:t>
            </w:r>
          </w:p>
        </w:tc>
      </w:tr>
      <w:tr w:rsidR="00CA223A" w:rsidTr="00CA223A">
        <w:tc>
          <w:tcPr>
            <w:tcW w:w="2507" w:type="dxa"/>
          </w:tcPr>
          <w:p w:rsidR="00CA223A" w:rsidRPr="00CA223A" w:rsidRDefault="00220671" w:rsidP="006E2F20">
            <w:pPr>
              <w:pStyle w:val="Odstavecseseznamem"/>
              <w:ind w:left="0"/>
              <w:rPr>
                <w:b/>
              </w:rPr>
            </w:pPr>
            <w:r>
              <w:rPr>
                <w:b/>
              </w:rPr>
              <w:t>2</w:t>
            </w:r>
          </w:p>
        </w:tc>
        <w:tc>
          <w:tcPr>
            <w:tcW w:w="6061" w:type="dxa"/>
          </w:tcPr>
          <w:p w:rsidR="00CA223A" w:rsidRDefault="00CA223A" w:rsidP="00A20A60">
            <w:pPr>
              <w:pStyle w:val="Odstavecseseznamem"/>
              <w:ind w:left="0"/>
            </w:pPr>
            <w:r>
              <w:t xml:space="preserve">jeden </w:t>
            </w:r>
            <w:r w:rsidR="00A20A60">
              <w:t>až dva roky provozu, pevná vazba</w:t>
            </w:r>
            <w:r>
              <w:t>, nepoškozený obal</w:t>
            </w:r>
          </w:p>
        </w:tc>
      </w:tr>
      <w:tr w:rsidR="00CA223A" w:rsidTr="00CA223A">
        <w:tc>
          <w:tcPr>
            <w:tcW w:w="2507" w:type="dxa"/>
          </w:tcPr>
          <w:p w:rsidR="00CA223A" w:rsidRPr="00CA223A" w:rsidRDefault="00220671" w:rsidP="006E2F20">
            <w:pPr>
              <w:pStyle w:val="Odstavecseseznamem"/>
              <w:ind w:left="0"/>
              <w:rPr>
                <w:b/>
              </w:rPr>
            </w:pPr>
            <w:r>
              <w:rPr>
                <w:b/>
              </w:rPr>
              <w:t>3</w:t>
            </w:r>
          </w:p>
        </w:tc>
        <w:tc>
          <w:tcPr>
            <w:tcW w:w="6061" w:type="dxa"/>
          </w:tcPr>
          <w:p w:rsidR="00CA223A" w:rsidRDefault="00CA223A" w:rsidP="006E2F20">
            <w:pPr>
              <w:pStyle w:val="Odstavecseseznamem"/>
              <w:ind w:left="0"/>
            </w:pPr>
            <w:r>
              <w:t>dva až tři roky provozu, vazba povolená, držící pohromadě, mírné poškození</w:t>
            </w:r>
          </w:p>
        </w:tc>
      </w:tr>
      <w:tr w:rsidR="00CA223A" w:rsidTr="00CA223A">
        <w:tc>
          <w:tcPr>
            <w:tcW w:w="2507" w:type="dxa"/>
          </w:tcPr>
          <w:p w:rsidR="00CA223A" w:rsidRPr="00CA223A" w:rsidRDefault="00220671" w:rsidP="006E2F20">
            <w:pPr>
              <w:pStyle w:val="Odstavecseseznamem"/>
              <w:ind w:left="0"/>
              <w:rPr>
                <w:b/>
              </w:rPr>
            </w:pPr>
            <w:r>
              <w:rPr>
                <w:b/>
              </w:rPr>
              <w:t>4</w:t>
            </w:r>
          </w:p>
        </w:tc>
        <w:tc>
          <w:tcPr>
            <w:tcW w:w="6061" w:type="dxa"/>
          </w:tcPr>
          <w:p w:rsidR="00CA223A" w:rsidRDefault="00CA223A" w:rsidP="00CA223A">
            <w:pPr>
              <w:pStyle w:val="Odstavecseseznamem"/>
              <w:ind w:left="0"/>
            </w:pPr>
            <w:r>
              <w:t>čtyři a více let provozu, celkově silně poškozená, rozpadající se vazba</w:t>
            </w:r>
          </w:p>
        </w:tc>
      </w:tr>
      <w:tr w:rsidR="00CA223A" w:rsidTr="00CA223A">
        <w:tc>
          <w:tcPr>
            <w:tcW w:w="2507" w:type="dxa"/>
          </w:tcPr>
          <w:p w:rsidR="00CA223A" w:rsidRPr="00CA223A" w:rsidRDefault="00220671" w:rsidP="006E2F20">
            <w:pPr>
              <w:pStyle w:val="Odstavecseseznamem"/>
              <w:ind w:left="0"/>
              <w:rPr>
                <w:b/>
              </w:rPr>
            </w:pPr>
            <w:r>
              <w:rPr>
                <w:b/>
              </w:rPr>
              <w:t>5</w:t>
            </w:r>
          </w:p>
        </w:tc>
        <w:tc>
          <w:tcPr>
            <w:tcW w:w="6061" w:type="dxa"/>
          </w:tcPr>
          <w:p w:rsidR="00CA223A" w:rsidRDefault="00CA223A" w:rsidP="006E2F20">
            <w:pPr>
              <w:pStyle w:val="Odstavecseseznamem"/>
              <w:ind w:left="0"/>
            </w:pPr>
            <w:r>
              <w:t>silně opotřebovaná, učebnice se nehodí k dalšímu provozu, nutno vyřadit</w:t>
            </w:r>
          </w:p>
        </w:tc>
      </w:tr>
    </w:tbl>
    <w:p w:rsidR="002448F3" w:rsidRDefault="002448F3" w:rsidP="006E2F20">
      <w:pPr>
        <w:pStyle w:val="Odstavecseseznamem"/>
      </w:pPr>
    </w:p>
    <w:p w:rsidR="006E2F20" w:rsidRDefault="00E7775C" w:rsidP="00E7775C">
      <w:pPr>
        <w:pStyle w:val="Odstavecseseznamem"/>
        <w:numPr>
          <w:ilvl w:val="0"/>
          <w:numId w:val="1"/>
        </w:numPr>
        <w:rPr>
          <w:b/>
          <w:u w:val="single"/>
        </w:rPr>
      </w:pPr>
      <w:r>
        <w:rPr>
          <w:b/>
          <w:u w:val="single"/>
        </w:rPr>
        <w:t>Vybírání učebnic</w:t>
      </w:r>
    </w:p>
    <w:p w:rsidR="00692CA4" w:rsidRDefault="00692CA4" w:rsidP="00692CA4">
      <w:pPr>
        <w:pStyle w:val="Odstavecseseznamem"/>
        <w:rPr>
          <w:b/>
          <w:u w:val="single"/>
        </w:rPr>
      </w:pPr>
    </w:p>
    <w:p w:rsidR="00E7775C" w:rsidRDefault="00E7775C" w:rsidP="00E7775C">
      <w:pPr>
        <w:pStyle w:val="Odstavecseseznamem"/>
      </w:pPr>
      <w:r>
        <w:t>Vyučující, který na konci školního roku učebnice vybírá, určí konečný stav současně výchozí stav pro další školní rok. Stav učebnice se označí na zadní straně příslušnou kategorií (písmenem), školním rokem, jménem žáka. Obdobně se postupuje i v případě, že žák odevzdává učebnice v průběhu školního roku.</w:t>
      </w:r>
    </w:p>
    <w:p w:rsidR="00E7775C" w:rsidRDefault="00E7775C" w:rsidP="00E7775C">
      <w:pPr>
        <w:pStyle w:val="Odstavecseseznamem"/>
      </w:pPr>
    </w:p>
    <w:p w:rsidR="00220671" w:rsidRDefault="00E7775C" w:rsidP="00E7775C">
      <w:pPr>
        <w:pStyle w:val="Odstavecseseznamem"/>
      </w:pPr>
      <w:r>
        <w:t>Příklad:</w:t>
      </w:r>
      <w:r w:rsidR="00692CA4">
        <w:t xml:space="preserve">      </w:t>
      </w:r>
      <w:r>
        <w:t>Šk.r. 201</w:t>
      </w:r>
      <w:r w:rsidR="00692CA4">
        <w:t>1</w:t>
      </w:r>
      <w:r>
        <w:t>/201</w:t>
      </w:r>
      <w:r w:rsidR="00692CA4">
        <w:t>2</w:t>
      </w:r>
      <w:r>
        <w:t xml:space="preserve"> Josef Hromádka  (kategorie) </w:t>
      </w:r>
      <w:r w:rsidR="00220671">
        <w:t>2</w:t>
      </w:r>
    </w:p>
    <w:p w:rsidR="00F04146" w:rsidRDefault="00220671" w:rsidP="00C9171D">
      <w:pPr>
        <w:overflowPunct/>
        <w:autoSpaceDE/>
        <w:autoSpaceDN/>
        <w:adjustRightInd/>
        <w:spacing w:after="200" w:line="276" w:lineRule="auto"/>
        <w:textAlignment w:val="auto"/>
        <w:rPr>
          <w:b/>
          <w:u w:val="single"/>
        </w:rPr>
      </w:pPr>
      <w:r>
        <w:br w:type="page"/>
      </w:r>
      <w:r w:rsidR="00F04146">
        <w:rPr>
          <w:b/>
          <w:u w:val="single"/>
        </w:rPr>
        <w:lastRenderedPageBreak/>
        <w:t>Určení výše úhrady při poškození či ztrátě učebnice</w:t>
      </w:r>
    </w:p>
    <w:p w:rsidR="00F04146" w:rsidRDefault="00F04146" w:rsidP="00F04146">
      <w:pPr>
        <w:pStyle w:val="Odstavecseseznamem"/>
        <w:rPr>
          <w:b/>
          <w:u w:val="single"/>
        </w:rPr>
      </w:pPr>
    </w:p>
    <w:p w:rsidR="00F04146" w:rsidRDefault="00F04146" w:rsidP="00F04146">
      <w:pPr>
        <w:pStyle w:val="Odstavecseseznamem"/>
        <w:numPr>
          <w:ilvl w:val="1"/>
          <w:numId w:val="1"/>
        </w:numPr>
      </w:pPr>
      <w:r>
        <w:t>Za jeden školní rok může žák učebnici regulérně „opotřebovat“ maximálně o jednu kategorii. Pokud je opotřebování větší, zaplatí poměrnou část výchozí ceny učebnice, kterou stanoví pověřený správce učebnicového fondu, dle tabulky níže.</w:t>
      </w:r>
    </w:p>
    <w:p w:rsidR="00A20A60" w:rsidRDefault="00A20A60" w:rsidP="00A20A60">
      <w:pPr>
        <w:pStyle w:val="Odstavecseseznamem"/>
        <w:ind w:left="1080"/>
      </w:pPr>
    </w:p>
    <w:p w:rsidR="00F04146" w:rsidRDefault="00F04146" w:rsidP="00F04146">
      <w:pPr>
        <w:pStyle w:val="Odstavecseseznamem"/>
        <w:numPr>
          <w:ilvl w:val="1"/>
          <w:numId w:val="1"/>
        </w:numPr>
      </w:pPr>
      <w:r>
        <w:t>Za ztracenou (neodevzdanou) učebnici bude přednostně požadován nákup stejné nové učebnice, popř. 100% úhrada výchozí ceny. Takto získané finanční prostředky se stanou součástí provozního rozpočtu organizace.</w:t>
      </w:r>
    </w:p>
    <w:p w:rsidR="001B464B" w:rsidRDefault="001B464B" w:rsidP="001B464B"/>
    <w:tbl>
      <w:tblPr>
        <w:tblStyle w:val="Mkatabulky"/>
        <w:tblW w:w="0" w:type="auto"/>
        <w:tblLook w:val="04A0" w:firstRow="1" w:lastRow="0" w:firstColumn="1" w:lastColumn="0" w:noHBand="0" w:noVBand="1"/>
      </w:tblPr>
      <w:tblGrid>
        <w:gridCol w:w="2303"/>
        <w:gridCol w:w="2303"/>
        <w:gridCol w:w="2303"/>
        <w:gridCol w:w="2303"/>
      </w:tblGrid>
      <w:tr w:rsidR="001B464B" w:rsidTr="001B464B">
        <w:tc>
          <w:tcPr>
            <w:tcW w:w="2303" w:type="dxa"/>
          </w:tcPr>
          <w:p w:rsidR="001B464B" w:rsidRDefault="001B464B" w:rsidP="001B464B"/>
        </w:tc>
        <w:tc>
          <w:tcPr>
            <w:tcW w:w="2303" w:type="dxa"/>
          </w:tcPr>
          <w:p w:rsidR="001B464B" w:rsidRDefault="00B46B04" w:rsidP="001B464B">
            <w:r>
              <w:t>3</w:t>
            </w:r>
            <w:r w:rsidR="001B464B">
              <w:t xml:space="preserve"> (při odevzdání)</w:t>
            </w:r>
          </w:p>
        </w:tc>
        <w:tc>
          <w:tcPr>
            <w:tcW w:w="2303" w:type="dxa"/>
          </w:tcPr>
          <w:p w:rsidR="001B464B" w:rsidRDefault="00B46B04" w:rsidP="001B464B">
            <w:r>
              <w:t>4</w:t>
            </w:r>
            <w:r w:rsidR="001B464B">
              <w:t xml:space="preserve"> (při odevzdání)</w:t>
            </w:r>
          </w:p>
        </w:tc>
        <w:tc>
          <w:tcPr>
            <w:tcW w:w="2303" w:type="dxa"/>
          </w:tcPr>
          <w:p w:rsidR="001B464B" w:rsidRDefault="00B46B04" w:rsidP="001B464B">
            <w:r>
              <w:t xml:space="preserve">5 </w:t>
            </w:r>
            <w:r w:rsidR="001B464B">
              <w:t xml:space="preserve">(při odevzdání) </w:t>
            </w:r>
          </w:p>
        </w:tc>
      </w:tr>
      <w:tr w:rsidR="001B464B" w:rsidTr="001B464B">
        <w:tc>
          <w:tcPr>
            <w:tcW w:w="2303" w:type="dxa"/>
          </w:tcPr>
          <w:p w:rsidR="001B464B" w:rsidRDefault="001B464B" w:rsidP="00B46B04">
            <w:r>
              <w:t xml:space="preserve"> </w:t>
            </w:r>
            <w:r w:rsidR="00B46B04">
              <w:t>1</w:t>
            </w:r>
            <w:r>
              <w:t xml:space="preserve"> (při převzetí)</w:t>
            </w:r>
          </w:p>
        </w:tc>
        <w:tc>
          <w:tcPr>
            <w:tcW w:w="2303" w:type="dxa"/>
          </w:tcPr>
          <w:p w:rsidR="001B464B" w:rsidRDefault="001B464B" w:rsidP="001B464B">
            <w:r>
              <w:t>40%</w:t>
            </w:r>
          </w:p>
        </w:tc>
        <w:tc>
          <w:tcPr>
            <w:tcW w:w="2303" w:type="dxa"/>
          </w:tcPr>
          <w:p w:rsidR="001B464B" w:rsidRDefault="001B464B" w:rsidP="001B464B">
            <w:r>
              <w:t>60%</w:t>
            </w:r>
          </w:p>
        </w:tc>
        <w:tc>
          <w:tcPr>
            <w:tcW w:w="2303" w:type="dxa"/>
          </w:tcPr>
          <w:p w:rsidR="001B464B" w:rsidRDefault="001B464B" w:rsidP="001B464B">
            <w:r>
              <w:t>80%</w:t>
            </w:r>
          </w:p>
        </w:tc>
      </w:tr>
      <w:tr w:rsidR="001B464B" w:rsidTr="001B464B">
        <w:tc>
          <w:tcPr>
            <w:tcW w:w="2303" w:type="dxa"/>
          </w:tcPr>
          <w:p w:rsidR="001B464B" w:rsidRDefault="00B46B04" w:rsidP="001B464B">
            <w:r>
              <w:t>2</w:t>
            </w:r>
            <w:r w:rsidR="001B464B">
              <w:t xml:space="preserve"> (při převzetí)</w:t>
            </w:r>
          </w:p>
        </w:tc>
        <w:tc>
          <w:tcPr>
            <w:tcW w:w="2303" w:type="dxa"/>
          </w:tcPr>
          <w:p w:rsidR="001B464B" w:rsidRDefault="001B464B" w:rsidP="001B464B">
            <w:r>
              <w:t>---</w:t>
            </w:r>
          </w:p>
        </w:tc>
        <w:tc>
          <w:tcPr>
            <w:tcW w:w="2303" w:type="dxa"/>
          </w:tcPr>
          <w:p w:rsidR="001B464B" w:rsidRDefault="001B464B" w:rsidP="001B464B">
            <w:r>
              <w:t>40%</w:t>
            </w:r>
          </w:p>
        </w:tc>
        <w:tc>
          <w:tcPr>
            <w:tcW w:w="2303" w:type="dxa"/>
          </w:tcPr>
          <w:p w:rsidR="001B464B" w:rsidRDefault="001B464B" w:rsidP="001B464B">
            <w:r>
              <w:t>60%</w:t>
            </w:r>
          </w:p>
        </w:tc>
      </w:tr>
      <w:tr w:rsidR="001B464B" w:rsidTr="001B464B">
        <w:tc>
          <w:tcPr>
            <w:tcW w:w="2303" w:type="dxa"/>
          </w:tcPr>
          <w:p w:rsidR="001B464B" w:rsidRDefault="00B46B04" w:rsidP="001B464B">
            <w:r>
              <w:t>3</w:t>
            </w:r>
            <w:r w:rsidR="001B464B">
              <w:t xml:space="preserve"> (při převzetí)</w:t>
            </w:r>
          </w:p>
        </w:tc>
        <w:tc>
          <w:tcPr>
            <w:tcW w:w="2303" w:type="dxa"/>
          </w:tcPr>
          <w:p w:rsidR="001B464B" w:rsidRDefault="001B464B" w:rsidP="001B464B">
            <w:r>
              <w:t>---</w:t>
            </w:r>
          </w:p>
        </w:tc>
        <w:tc>
          <w:tcPr>
            <w:tcW w:w="2303" w:type="dxa"/>
          </w:tcPr>
          <w:p w:rsidR="001B464B" w:rsidRDefault="001B464B" w:rsidP="001B464B">
            <w:r>
              <w:t>---</w:t>
            </w:r>
          </w:p>
        </w:tc>
        <w:tc>
          <w:tcPr>
            <w:tcW w:w="2303" w:type="dxa"/>
          </w:tcPr>
          <w:p w:rsidR="001B464B" w:rsidRDefault="001B464B" w:rsidP="001B464B">
            <w:r>
              <w:t>40%</w:t>
            </w:r>
          </w:p>
        </w:tc>
      </w:tr>
      <w:tr w:rsidR="001B464B" w:rsidTr="001B464B">
        <w:tc>
          <w:tcPr>
            <w:tcW w:w="2303" w:type="dxa"/>
          </w:tcPr>
          <w:p w:rsidR="001B464B" w:rsidRDefault="00B46B04" w:rsidP="001B464B">
            <w:r>
              <w:t>4</w:t>
            </w:r>
            <w:r w:rsidR="001B464B">
              <w:t xml:space="preserve"> (při převzetí)</w:t>
            </w:r>
          </w:p>
        </w:tc>
        <w:tc>
          <w:tcPr>
            <w:tcW w:w="2303" w:type="dxa"/>
          </w:tcPr>
          <w:p w:rsidR="001B464B" w:rsidRDefault="001B464B" w:rsidP="001B464B">
            <w:r>
              <w:t>---</w:t>
            </w:r>
          </w:p>
        </w:tc>
        <w:tc>
          <w:tcPr>
            <w:tcW w:w="2303" w:type="dxa"/>
          </w:tcPr>
          <w:p w:rsidR="001B464B" w:rsidRDefault="001B464B" w:rsidP="001B464B">
            <w:r>
              <w:t>---</w:t>
            </w:r>
          </w:p>
        </w:tc>
        <w:tc>
          <w:tcPr>
            <w:tcW w:w="2303" w:type="dxa"/>
          </w:tcPr>
          <w:p w:rsidR="001B464B" w:rsidRDefault="001B464B" w:rsidP="001B464B">
            <w:r>
              <w:t>---</w:t>
            </w:r>
          </w:p>
        </w:tc>
      </w:tr>
      <w:tr w:rsidR="001B464B" w:rsidTr="001B464B">
        <w:tc>
          <w:tcPr>
            <w:tcW w:w="2303" w:type="dxa"/>
          </w:tcPr>
          <w:p w:rsidR="001B464B" w:rsidRDefault="00B46B04" w:rsidP="001B464B">
            <w:r>
              <w:t>5</w:t>
            </w:r>
            <w:r w:rsidR="001B464B">
              <w:t xml:space="preserve"> (při převzetí)</w:t>
            </w:r>
          </w:p>
        </w:tc>
        <w:tc>
          <w:tcPr>
            <w:tcW w:w="2303" w:type="dxa"/>
          </w:tcPr>
          <w:p w:rsidR="001B464B" w:rsidRDefault="001B464B" w:rsidP="001B464B">
            <w:r>
              <w:t>---</w:t>
            </w:r>
          </w:p>
        </w:tc>
        <w:tc>
          <w:tcPr>
            <w:tcW w:w="2303" w:type="dxa"/>
          </w:tcPr>
          <w:p w:rsidR="001B464B" w:rsidRDefault="001B464B" w:rsidP="001B464B">
            <w:r>
              <w:t>---</w:t>
            </w:r>
          </w:p>
        </w:tc>
        <w:tc>
          <w:tcPr>
            <w:tcW w:w="2303" w:type="dxa"/>
          </w:tcPr>
          <w:p w:rsidR="001B464B" w:rsidRDefault="001B464B" w:rsidP="001B464B">
            <w:r>
              <w:t>---</w:t>
            </w:r>
          </w:p>
        </w:tc>
      </w:tr>
    </w:tbl>
    <w:p w:rsidR="001B464B" w:rsidRDefault="001B464B" w:rsidP="001B464B"/>
    <w:p w:rsidR="0035110E" w:rsidRDefault="0035110E" w:rsidP="0035110E">
      <w:pPr>
        <w:pStyle w:val="Odstavecseseznamem"/>
        <w:numPr>
          <w:ilvl w:val="1"/>
          <w:numId w:val="1"/>
        </w:numPr>
      </w:pPr>
      <w:r>
        <w:t>Drobné poškození učebnice, které vzniklo neopatrným zacházením (např. natrhnutá či jinak poškozená stránka, ohnutý roh, zmačkaný list), bude zpoplatněno částkou do 20% původní ceny knihy.</w:t>
      </w:r>
    </w:p>
    <w:p w:rsidR="0035110E" w:rsidRDefault="0035110E" w:rsidP="0035110E"/>
    <w:p w:rsidR="0035110E" w:rsidRDefault="0035110E" w:rsidP="0035110E">
      <w:pPr>
        <w:pStyle w:val="Odstavecseseznamem"/>
        <w:numPr>
          <w:ilvl w:val="0"/>
          <w:numId w:val="1"/>
        </w:numPr>
        <w:rPr>
          <w:b/>
          <w:u w:val="single"/>
        </w:rPr>
      </w:pPr>
      <w:r>
        <w:rPr>
          <w:b/>
          <w:u w:val="single"/>
        </w:rPr>
        <w:t>Závěrečné ustanovení</w:t>
      </w:r>
    </w:p>
    <w:p w:rsidR="00692CA4" w:rsidRDefault="00692CA4" w:rsidP="00692CA4">
      <w:pPr>
        <w:pStyle w:val="Odstavecseseznamem"/>
        <w:rPr>
          <w:b/>
          <w:u w:val="single"/>
        </w:rPr>
      </w:pPr>
    </w:p>
    <w:p w:rsidR="00A20A60" w:rsidRDefault="0035110E" w:rsidP="00A20A60">
      <w:pPr>
        <w:pStyle w:val="Odstavecseseznamem"/>
        <w:numPr>
          <w:ilvl w:val="1"/>
          <w:numId w:val="1"/>
        </w:numPr>
      </w:pPr>
      <w:r>
        <w:t xml:space="preserve">Kontrolou provádění ustanovení této směrnice je statutárním orgánem školy pověřen zaměstnanec: </w:t>
      </w:r>
      <w:r w:rsidR="004C00B2">
        <w:t>Mgr. Iveta Vohralíková</w:t>
      </w:r>
    </w:p>
    <w:p w:rsidR="0035110E" w:rsidRDefault="0035110E" w:rsidP="0035110E">
      <w:pPr>
        <w:pStyle w:val="Odstavecseseznamem"/>
        <w:numPr>
          <w:ilvl w:val="1"/>
          <w:numId w:val="1"/>
        </w:numPr>
      </w:pPr>
      <w:r>
        <w:t xml:space="preserve">Směrnice nabývá účinnosti dne: </w:t>
      </w:r>
      <w:r w:rsidR="004C00B2">
        <w:t>20</w:t>
      </w:r>
      <w:r>
        <w:t xml:space="preserve">. </w:t>
      </w:r>
      <w:r w:rsidR="004C00B2">
        <w:t>6</w:t>
      </w:r>
      <w:r>
        <w:t>. 201</w:t>
      </w:r>
      <w:r w:rsidR="004C00B2">
        <w:t>6</w:t>
      </w:r>
    </w:p>
    <w:p w:rsidR="0035110E" w:rsidRDefault="0035110E" w:rsidP="0035110E">
      <w:pPr>
        <w:pStyle w:val="Odstavecseseznamem"/>
        <w:numPr>
          <w:ilvl w:val="1"/>
          <w:numId w:val="1"/>
        </w:numPr>
      </w:pPr>
      <w:r>
        <w:t>Zaměstnanci byli s touto směrnicí seznámeni na pedagogické radě dne 1</w:t>
      </w:r>
      <w:r w:rsidR="004C00B2">
        <w:t>5</w:t>
      </w:r>
      <w:r>
        <w:t xml:space="preserve">. </w:t>
      </w:r>
      <w:r w:rsidR="004C00B2">
        <w:t>6</w:t>
      </w:r>
      <w:r>
        <w:t>. 201</w:t>
      </w:r>
      <w:r w:rsidR="004C00B2">
        <w:t>6</w:t>
      </w:r>
      <w:r>
        <w:t>.</w:t>
      </w:r>
    </w:p>
    <w:p w:rsidR="0035110E" w:rsidRDefault="0035110E" w:rsidP="0035110E"/>
    <w:p w:rsidR="0035110E" w:rsidRDefault="0035110E" w:rsidP="0035110E"/>
    <w:p w:rsidR="0035110E" w:rsidRDefault="0035110E" w:rsidP="0035110E"/>
    <w:p w:rsidR="0035110E" w:rsidRDefault="00B05651" w:rsidP="0035110E">
      <w:r>
        <w:t xml:space="preserve">                                                                                     Mgr. </w:t>
      </w:r>
      <w:r w:rsidR="004C00B2">
        <w:t>Vladimír Chramosta</w:t>
      </w:r>
      <w:r>
        <w:t>, ředitel školy</w:t>
      </w:r>
    </w:p>
    <w:p w:rsidR="0035110E" w:rsidRDefault="0035110E" w:rsidP="0035110E"/>
    <w:p w:rsidR="0035110E" w:rsidRDefault="0035110E" w:rsidP="0035110E"/>
    <w:p w:rsidR="0035110E" w:rsidRPr="0035110E" w:rsidRDefault="0035110E" w:rsidP="0035110E">
      <w:r>
        <w:t>V </w:t>
      </w:r>
      <w:r w:rsidR="004C00B2">
        <w:t>Bystřici</w:t>
      </w:r>
      <w:r>
        <w:t xml:space="preserve"> dne 1</w:t>
      </w:r>
      <w:r w:rsidR="004C00B2">
        <w:t>5</w:t>
      </w:r>
      <w:r>
        <w:t>.</w:t>
      </w:r>
      <w:r w:rsidR="00B05651">
        <w:t xml:space="preserve"> </w:t>
      </w:r>
      <w:r w:rsidR="004C00B2">
        <w:t>6</w:t>
      </w:r>
      <w:r>
        <w:t>.</w:t>
      </w:r>
      <w:r w:rsidR="00B05651">
        <w:t xml:space="preserve"> </w:t>
      </w:r>
      <w:r>
        <w:t>201</w:t>
      </w:r>
      <w:r w:rsidR="004C00B2">
        <w:t>6</w:t>
      </w:r>
      <w:r>
        <w:t xml:space="preserve">                              </w:t>
      </w:r>
    </w:p>
    <w:sectPr w:rsidR="0035110E" w:rsidRPr="0035110E" w:rsidSect="00D663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95" w:rsidRDefault="00496395" w:rsidP="0058133E">
      <w:r>
        <w:separator/>
      </w:r>
    </w:p>
  </w:endnote>
  <w:endnote w:type="continuationSeparator" w:id="0">
    <w:p w:rsidR="00496395" w:rsidRDefault="00496395" w:rsidP="0058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3E" w:rsidRDefault="005813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95" w:rsidRDefault="00496395" w:rsidP="0058133E">
      <w:r>
        <w:separator/>
      </w:r>
    </w:p>
  </w:footnote>
  <w:footnote w:type="continuationSeparator" w:id="0">
    <w:p w:rsidR="00496395" w:rsidRDefault="00496395" w:rsidP="0058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3E" w:rsidRDefault="005813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4F0"/>
    <w:multiLevelType w:val="hybridMultilevel"/>
    <w:tmpl w:val="EF32FA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0B36C4"/>
    <w:multiLevelType w:val="multilevel"/>
    <w:tmpl w:val="D9482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B55288A"/>
    <w:multiLevelType w:val="hybridMultilevel"/>
    <w:tmpl w:val="27984B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20"/>
    <w:rsid w:val="000D2F31"/>
    <w:rsid w:val="001B464B"/>
    <w:rsid w:val="00220671"/>
    <w:rsid w:val="002448F3"/>
    <w:rsid w:val="0035110E"/>
    <w:rsid w:val="00356516"/>
    <w:rsid w:val="00467CF7"/>
    <w:rsid w:val="00496395"/>
    <w:rsid w:val="004C00B2"/>
    <w:rsid w:val="00552B75"/>
    <w:rsid w:val="0058133E"/>
    <w:rsid w:val="00692CA4"/>
    <w:rsid w:val="006E2F20"/>
    <w:rsid w:val="006F5E27"/>
    <w:rsid w:val="009A65DC"/>
    <w:rsid w:val="009C7EAB"/>
    <w:rsid w:val="00A17D46"/>
    <w:rsid w:val="00A20A60"/>
    <w:rsid w:val="00AF745E"/>
    <w:rsid w:val="00B05651"/>
    <w:rsid w:val="00B46B04"/>
    <w:rsid w:val="00C40CD9"/>
    <w:rsid w:val="00C9171D"/>
    <w:rsid w:val="00CA223A"/>
    <w:rsid w:val="00D36DB9"/>
    <w:rsid w:val="00D663CB"/>
    <w:rsid w:val="00E2240C"/>
    <w:rsid w:val="00E7775C"/>
    <w:rsid w:val="00F04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36D20-6F05-4148-86B5-1DFE6A47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2F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6E2F20"/>
    <w:pPr>
      <w:widowControl w:val="0"/>
    </w:pPr>
  </w:style>
  <w:style w:type="paragraph" w:styleId="Odstavecseseznamem">
    <w:name w:val="List Paragraph"/>
    <w:basedOn w:val="Normln"/>
    <w:uiPriority w:val="34"/>
    <w:qFormat/>
    <w:rsid w:val="006E2F20"/>
    <w:pPr>
      <w:ind w:left="720"/>
      <w:contextualSpacing/>
    </w:pPr>
  </w:style>
  <w:style w:type="table" w:styleId="Mkatabulky">
    <w:name w:val="Table Grid"/>
    <w:basedOn w:val="Normlntabulka"/>
    <w:uiPriority w:val="59"/>
    <w:rsid w:val="00CA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58133E"/>
    <w:pPr>
      <w:tabs>
        <w:tab w:val="center" w:pos="4536"/>
        <w:tab w:val="right" w:pos="9072"/>
      </w:tabs>
    </w:pPr>
  </w:style>
  <w:style w:type="character" w:customStyle="1" w:styleId="ZhlavChar">
    <w:name w:val="Záhlaví Char"/>
    <w:basedOn w:val="Standardnpsmoodstavce"/>
    <w:link w:val="Zhlav"/>
    <w:uiPriority w:val="99"/>
    <w:semiHidden/>
    <w:rsid w:val="0058133E"/>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8133E"/>
    <w:pPr>
      <w:tabs>
        <w:tab w:val="center" w:pos="4536"/>
        <w:tab w:val="right" w:pos="9072"/>
      </w:tabs>
    </w:pPr>
  </w:style>
  <w:style w:type="character" w:customStyle="1" w:styleId="ZpatChar">
    <w:name w:val="Zápatí Char"/>
    <w:basedOn w:val="Standardnpsmoodstavce"/>
    <w:link w:val="Zpat"/>
    <w:uiPriority w:val="99"/>
    <w:rsid w:val="0058133E"/>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9171D"/>
    <w:rPr>
      <w:rFonts w:ascii="Tahoma" w:hAnsi="Tahoma" w:cs="Tahoma"/>
      <w:sz w:val="16"/>
      <w:szCs w:val="16"/>
    </w:rPr>
  </w:style>
  <w:style w:type="character" w:customStyle="1" w:styleId="TextbublinyChar">
    <w:name w:val="Text bubliny Char"/>
    <w:basedOn w:val="Standardnpsmoodstavce"/>
    <w:link w:val="Textbubliny"/>
    <w:uiPriority w:val="99"/>
    <w:semiHidden/>
    <w:rsid w:val="00C9171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ZŠ</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Gruber</cp:lastModifiedBy>
  <cp:revision>2</cp:revision>
  <cp:lastPrinted>2016-06-15T06:56:00Z</cp:lastPrinted>
  <dcterms:created xsi:type="dcterms:W3CDTF">2018-02-26T13:11:00Z</dcterms:created>
  <dcterms:modified xsi:type="dcterms:W3CDTF">2018-02-26T13:11:00Z</dcterms:modified>
</cp:coreProperties>
</file>